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2"/>
      </w:pPr>
      <w:r>
        <w:t>I.</w:t>
      </w:r>
    </w:p>
    <w:p w:rsidR="00A77B3E">
      <w:pPr>
        <w:pStyle w:val="1"/>
      </w:pPr>
    </w:p>
    <w:p w:rsidR="00A77B3E">
      <w:pPr>
        <w:pStyle w:val="3"/>
      </w:pPr>
      <w:r>
        <w:t>Důvodová zpráva</w:t>
      </w:r>
    </w:p>
    <w:p w:rsidR="00A77B3E">
      <w:pPr>
        <w:pStyle w:val="4"/>
      </w:pPr>
      <w:r>
        <w:t>Vyhláška, kterou se mění vyhláška č. 474/2002 Sb., kterou se provádí zákon č. 281/2002 Sb., o některých opatřeních souvisejících se zákazem bakteriologických (biologických) a toxinových zbraní a o změně živnostenského zákona, ve znění pozdějších předpisů</w:t>
      </w:r>
    </w:p>
    <w:p w:rsidR="00A77B3E">
      <w:pPr>
        <w:pStyle w:val="1"/>
      </w:pPr>
    </w:p>
    <w:p w:rsidR="00A77B3E">
      <w:pPr>
        <w:pStyle w:val="5"/>
      </w:pPr>
      <w:r>
        <w:t>I. Obecná část</w:t>
      </w:r>
    </w:p>
    <w:p w:rsidR="00A77B3E">
      <w:pPr>
        <w:pStyle w:val="6"/>
      </w:pPr>
      <w:r>
        <w:t>1.</w:t>
      </w:r>
      <w:r>
        <w:t>   Popis obsahu návrhu právního předpisu s uvedením důvodů, které k jeho předložení vedou, a shrnutí základních zásad a nejdůležitějších změn, které oproti stávající právní úpravě zavádí.</w:t>
      </w:r>
    </w:p>
    <w:p w:rsidR="00A77B3E">
      <w:pPr>
        <w:pStyle w:val="7"/>
      </w:pPr>
      <w:r>
        <w:t>Státní úřad pro jadernou bezpečnost (SÚJB) předkládá na základě Plánu přípravy vyhlášek na rok 2025 návrh vyhlášky, kterou se mění vyhláška č. 474/2002 Sb., kterou se provádí zákon č. 281/2002 Sb., o některých opatřeních souvisejících se zákazem bakteriologických (biologických) a toxinových zbraní a o změně živnostenského zákona. K vydání vyhlášky je SÚJB zmocněn ustanovením § 22 odst. 1 zákona č. 281/2002 Sb., o některých opatřeních souvisejících se zákazem bakteriologických (biologických) a toxinových zbraní a o změně živnostenského zákona (dále jen „zákon č. 281/2002 Sb.“). Hlavním cílem navrhované regulace je úprava přílohy č. 1 a č. 2 k vyhlášce v souvislosti se změnami přílohy I k Nařízení Evropského parlamentu a Rady (EU) 2021/821, kterým se zavádí režim Unie pro kontrolu vývozu, zprostředkování, technické pomoci, tranzitu a přepravy zboží dvojího užití.</w:t>
      </w:r>
    </w:p>
    <w:p w:rsidR="00A77B3E">
      <w:pPr>
        <w:pStyle w:val="8"/>
      </w:pPr>
      <w:r>
        <w:t>Ač tato evropská právní úprava sleduje jiný účel, důvodem, proč jsou využívány aktualizované seznamy Nařízení Evropského parlamentu a Rady (EU) 2021/821,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ničení.</w:t>
      </w:r>
    </w:p>
    <w:p w:rsidR="00A77B3E">
      <w:pPr>
        <w:pStyle w:val="8"/>
      </w:pPr>
      <w:r>
        <w:t>Dalším cílem je změna požadovaného uznávaného elektronického podpisu v § 7 odst. 2 na kvalifikovaný elektronický podpis, což je v souladu s aktuální legislativou. Zároveň se upravuje nesprávná jazyková formulace v nadpisu § 7, spočívající v nahrazení spojení „o pracovištích“ slovem „pracovišť“, aby tak textace odpovídala prováděnému zákonu.</w:t>
      </w:r>
    </w:p>
    <w:p w:rsidR="00A77B3E">
      <w:pPr>
        <w:pStyle w:val="9"/>
      </w:pPr>
      <w:r>
        <w:t>V souladem s Plánem přípravy vyhlášek na rok 2025 se k tomuto návrhu vyhlášky RIA nezpracovává.</w:t>
      </w:r>
    </w:p>
    <w:p w:rsidR="00A77B3E">
      <w:pPr>
        <w:pStyle w:val="6"/>
      </w:pPr>
      <w:r>
        <w:t>2.</w:t>
      </w:r>
      <w:r>
        <w:t>   Zhodnocení platného právního stavu</w:t>
      </w:r>
    </w:p>
    <w:p w:rsidR="00A77B3E">
      <w:pPr>
        <w:pStyle w:val="7"/>
      </w:pPr>
      <w:r>
        <w:t>Stávající znění přílohy č. 1 a č. 2 k vyhlášce č. 474/2002 Sb. jsou platná od počátku roku 2018, kdy vstupem v platnost vyhlášky č. 379/2017 Sb. došlo naposledy ke změně seznamů vysoce rizikových a rizikových agens a toxinů. Za uplynulých 7 let, od nabytí platnosti poslední novelizace vyhlášky č. 474/2002 Sb., došlo k dalším změnám v seznamech agens a toxinů, které jsou považovány za zdroj rizika v souvislosti s možným zneužitím těchto látek, přičemž tyto změny doposud nejsou ve vyhlášce zohledněny.</w:t>
      </w:r>
    </w:p>
    <w:p w:rsidR="00A77B3E">
      <w:pPr>
        <w:pStyle w:val="8"/>
      </w:pPr>
      <w:r>
        <w:t>Dosavadní znění vyhlášky v § 7 odst. 2 požaduje předkládat deklarace v elektronické formě podepsané uznávaným elektronickým podpisem. V souvislosti s vydáním zákona č. 297/2016 Sb., o službách vytvářejících důvěru pro elektronické transakce, se zavádí místo pojmu uznávaný elektronický podpis pojem kvalifikovaný elektronický podpis jako nejvyšší forma elektronického podpisu, který tvoří ekvivalent vlastnoručnímu podpisu.</w:t>
      </w:r>
    </w:p>
    <w:p w:rsidR="00A77B3E">
      <w:pPr>
        <w:pStyle w:val="9"/>
      </w:pPr>
      <w:r>
        <w:t>Jelikož se jedná hlavně o úpravu dvou příloh ke stávajícímu znění vyhlášky (ve kterých dochází ve výsledku ale jen k dílčím úpravám), dochází v této oblasti k právní kontinuitě a rizika, která by hrozila přijetím tohoto návrhu, nejsou předkladateli známá a nelze je ani předpokládat.</w:t>
      </w:r>
    </w:p>
    <w:p w:rsidR="00A77B3E">
      <w:pPr>
        <w:pStyle w:val="6"/>
      </w:pPr>
      <w:r>
        <w:t>3.</w:t>
      </w:r>
      <w:r>
        <w:t>   Zhodnocení souladu návrhu právního předpisu s ústavním pořádkem a ostatními součástmi právního řádu České republiky.</w:t>
      </w:r>
    </w:p>
    <w:p w:rsidR="00A77B3E">
      <w:pPr>
        <w:pStyle w:val="10"/>
      </w:pPr>
      <w:r>
        <w:t>Předložený návrh vyhlášky je v souladu s ústavním pořádkem České republiky, s Listinou základních práv a svobod a s Ústavou České republiky. Návrh vyhlášky respektuje obecné zásady ústavního pořádku České republiky a je též v souladu s právními předpisy upravujícími oblast působnosti ústředních orgánů státní správy České republiky.</w:t>
      </w:r>
    </w:p>
    <w:p w:rsidR="00A77B3E">
      <w:pPr>
        <w:pStyle w:val="6"/>
      </w:pPr>
      <w:r>
        <w:t>4.</w:t>
      </w:r>
      <w:r>
        <w:t>   Zhodnocení souladu návrhu právního předpisu se závazky vyplývajícími pro Českou republiku z jejího členství v Evropské unii.</w:t>
      </w:r>
    </w:p>
    <w:p w:rsidR="00A77B3E">
      <w:pPr>
        <w:pStyle w:val="10"/>
      </w:pPr>
      <w:r>
        <w:t>​Návrh vyhlášky netransponuje do českého právního řádu žádný předpis Evropské unie. Návrh vyhlášky pouze využívá seznamů přílohy I k Nařízení Evropského parlamentu a Rady (EU) 2021/821 ve formě referenčních seznamů, které v podobné oblasti regulace (vývoz, zprostředkování, technická pomoc, tranzit a přeprava zboží dvojího užití) obsahují seznam vysoce rizikových a rizikových biologických agens a toxinů, který je v souladu s nejnovějšími vědeckými poznatky.</w:t>
      </w:r>
    </w:p>
    <w:p w:rsidR="00A77B3E">
      <w:pPr>
        <w:pStyle w:val="6"/>
      </w:pPr>
      <w:r>
        <w:t>5.</w:t>
      </w:r>
      <w:r>
        <w:t>   Zhodnocení souladu návrhu právního předpisu s mezinárodními smlouvami, jimiž je Česká republika vázána.</w:t>
      </w:r>
    </w:p>
    <w:p w:rsidR="00A77B3E">
      <w:pPr>
        <w:pStyle w:val="10"/>
      </w:pPr>
      <w:r>
        <w:t>​Předložený návrh vyhlášky není v rozporu s mezinárodními smlouvami, jimiž je Česká republika vázána, ani s předpisy Evropské unie, ani s judikaturou soudních orgánů Evropské unie a ani s obecnými právními zásadami práva Evropské unie, přičemž se uvedené předpisy, judikatura a obecné právní zásady Evropské unie nevztahují k návrhu právní úpravy.</w:t>
      </w:r>
    </w:p>
    <w:p w:rsidR="00A77B3E">
      <w:pPr>
        <w:pStyle w:val="6"/>
      </w:pPr>
      <w:r>
        <w:t>6.</w:t>
      </w:r>
      <w:r>
        <w:t>   Předpokládaný hospodářský a finanční dopad návrhu právního předpisu na státní rozpočet a ostatní veřejné rozpočty.</w:t>
      </w:r>
    </w:p>
    <w:p w:rsidR="00A77B3E">
      <w:pPr>
        <w:pStyle w:val="10"/>
      </w:pPr>
      <w:r>
        <w:t>Návrh vyhlášky nebude mít vliv na státní rozpočet ani ostatní veřejné rozpočty. V souvislosti s přijetím předkládané vyhlášky návrh předpokládá pouze nepatrné náklady ze strany SÚJB na úpravu stávajících elektronických formulářů deklarace a současně též databáze určené k vedení evidence podle § 3 odst. 2 písm. d) zákona č. 281/2002 Sb.</w:t>
      </w:r>
    </w:p>
    <w:p w:rsidR="00A77B3E">
      <w:pPr>
        <w:pStyle w:val="6"/>
      </w:pPr>
      <w:r>
        <w:t>7.</w:t>
      </w:r>
      <w:r>
        <w:t>   Odůvodnění případného návrhu, aby Poslanecká sněmovna vyslovila s návrhem právního předpisu souhlas již v prvém čtení.</w:t>
      </w:r>
    </w:p>
    <w:p w:rsidR="00A77B3E">
      <w:pPr>
        <w:pStyle w:val="10"/>
      </w:pPr>
      <w:r>
        <w:t>Není relevantní.</w:t>
      </w:r>
    </w:p>
    <w:p w:rsidR="00A77B3E">
      <w:pPr>
        <w:pStyle w:val="6"/>
      </w:pPr>
      <w:r>
        <w:t>8.</w:t>
      </w:r>
      <w:r>
        <w:t>   Odůvodnění případného návrhu, aby navrhovaná právní úprava nabyla účinnosti k jinému dni než k 1. lednu nebo k 1. červenci kalendářního roku.</w:t>
      </w:r>
    </w:p>
    <w:p w:rsidR="00A77B3E">
      <w:pPr>
        <w:pStyle w:val="10"/>
      </w:pPr>
      <w:r>
        <w:t>Navrhuje se nabytí účinnosti k 1. 1. 2026, tudíž není relevantní.</w:t>
      </w:r>
    </w:p>
    <w:p w:rsidR="00A77B3E">
      <w:pPr>
        <w:pStyle w:val="6"/>
      </w:pPr>
      <w:r>
        <w:t>9.</w:t>
      </w:r>
      <w:r>
        <w:t>   Odůvodnění jednotlivých ustanovení návrhu právního předpisu; odůvodnění obsahuje vysvětlení jejich účelu a nezbytnosti, popis právních norem v nich obsažených a z nich vyplývajících práv a povinností.</w:t>
      </w:r>
    </w:p>
    <w:p w:rsidR="00A77B3E">
      <w:pPr>
        <w:pStyle w:val="7"/>
      </w:pPr>
      <w:r>
        <w:t>K čl. I bodu 1 - V nadpisu § 7 se upravuje nesprávná jazyková formulace v nadpisu § 7, spočívající v nahrazení spojení „o pracovištích“ slovem „pracovišť“, aby tak textace odpovídala prováděnému zákonu.</w:t>
      </w:r>
    </w:p>
    <w:p w:rsidR="00A77B3E">
      <w:pPr>
        <w:pStyle w:val="8"/>
      </w:pPr>
      <w:r>
        <w:t>K čl. I bodu 2 - V § 7 odst. 2 se slovo „uznávaným“ nahrazuje slovem „kvalifikovaným“. Jde o úpravu související s vydáním zákona č. 297/2016 Sb., o službách vytvářejících důvěru pro elektronické transakce, který zavádí jako ekvivalent vlastnoučního podpisu kvalifikovaný elektronický podpis.</w:t>
      </w:r>
    </w:p>
    <w:p w:rsidR="00A77B3E">
      <w:pPr>
        <w:pStyle w:val="8"/>
      </w:pPr>
      <w:r>
        <w:t>K čl. I bodu 3 - nový text přílohy č. 1. Navrhovaná změna reaguje na změny v nomenklatuře biologických agens a harmonizuje položky uvedené na seznamech přílohy č. 1 s legislativou EU přijatou v oblasti nakládání, resp. vývozu biologických agens a toxinů [Nařízení Evropského parlamentu a Rady (EU) 2021/821 ze dne 20. května 2021, kterým se zavádí režim Unie pro kontrolu vývozu, zprostředkování, technické pomoci, tranzitu a přepravy zboží dvojího užití, ve znění Nařízení Komise v přenesené pravomoci (EU) 2024/2547 ze dne 5. září 2024]. Ač tato evropská právní úprava sleduje jiný účel, důvodem, proč jsou využívány aktualizované seznamy Evropského parlamentu a Rady (EU) 2021/821,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 (konkrétně agens a toxiny uvedené v příloze I, Část III - kategorie 1, položky 1C351, 1C352, 1C353 a 1C354). Ze seznamu byl např. odstraněn virus Dengue, naopak se na něm nově objevují např. mořské toxiny jako brevetoxiny, gonyautoxiny, nodulariny a palytoxin. Počet položek na seznamech uvedeného nařízení EU není totožný s počtem položek navrhované novely vyhlášky, protože navrhované seznamy přílohy č. 1 a č. 2 k vyhlášce v mnoha ohledech pro lepší přehlednost respektují původní seznamy těchto příloh. Např. na seznamech EU jsou rozepsány toxiny deacetoxyscirpenol, T-2 toxin a HT-2 toxin, zatímco příloha č. 1 k vyhlášce obsahuje souhrnnou položku trichothecenové toxiny.</w:t>
      </w:r>
    </w:p>
    <w:p w:rsidR="00A77B3E">
      <w:pPr>
        <w:pStyle w:val="9"/>
      </w:pPr>
      <w:r>
        <w:t>K čl. I bod 4 - nový text přílohy č. 2. Navrhovaná změna reaguje na změny v nomenklatuře biologických agens a harmonizuje položky uvedené na seznamech přílohy č. 2 s legislativou EU přijatou v oblasti nakládání, resp. vývozu biologických agens a toxinů, Důvodem, proč jsou využívány aktualizované seznamy Nařízení Evropského parlamentu a Rady (EU) 2021/821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 (obdobně jako v novelizačním bodě č. 3).</w:t>
      </w:r>
    </w:p>
    <w:p w:rsidR="00A77B3E">
      <w:pPr>
        <w:pStyle w:val="6"/>
      </w:pPr>
      <w:r>
        <w:t>10.</w:t>
      </w:r>
      <w:r>
        <w:t>   Zhodnocení, zda návrh právního předpisu neobsahuje ustanovení, které by bylo svou povahou technickým předpisem podle právního předpisu upravujícího technické požadavky na výrobky, a informace o splnění oznamovací povinnosti podle tohoto právního předpisu.</w:t>
      </w:r>
    </w:p>
    <w:p w:rsidR="00A77B3E">
      <w:pPr>
        <w:pStyle w:val="10"/>
      </w:pPr>
      <w:r>
        <w:t>Návrh vyhlášky neobsahuje ustanovení, které by bylo svou povahou technickým předpisem podle právního předpisu upravujícího technické požadavky na výrobky, a informace o splnění oznamovací povinnosti podle tohoto právního předpisu</w:t>
      </w:r>
    </w:p>
    <w:p w:rsidR="00A77B3E">
      <w:pPr>
        <w:pStyle w:val="6"/>
      </w:pPr>
      <w:r>
        <w:t>11.</w:t>
      </w:r>
      <w:r>
        <w:t>   Informaci o konzultaci návrhu právního předpisu s Evropskou centrální bankou a výsledku konzultace, podléhá-li návrh právního předpisu takové konzultaci.</w:t>
      </w:r>
    </w:p>
    <w:p w:rsidR="00A77B3E">
      <w:pPr>
        <w:pStyle w:val="10"/>
      </w:pPr>
      <w:r>
        <w:t>Není relevantní.</w:t>
      </w:r>
    </w:p>
    <w:p w:rsidR="00A77B3E">
      <w:pPr>
        <w:pStyle w:val="6"/>
      </w:pPr>
      <w:r>
        <w:t>12.</w:t>
      </w:r>
      <w:r>
        <w:t>   Předpokládaný dopad návrhu právního předpisu, zejména.</w:t>
      </w:r>
    </w:p>
    <w:p w:rsidR="00A77B3E">
      <w:pPr>
        <w:pStyle w:val="11"/>
      </w:pPr>
      <w:r>
        <w:t>12.1</w:t>
      </w:r>
      <w:r>
        <w:t>   Dopad na práva a povinnosti fyzických a právnických osob.</w:t>
      </w:r>
    </w:p>
    <w:p w:rsidR="00A77B3E">
      <w:pPr>
        <w:pStyle w:val="10"/>
      </w:pPr>
      <w:r>
        <w:t>Vyhláška se vztahuje na cca 110 subjektů, které nakládají s vysoce rizikovými a rizikovými biologickými agens a toxiny. K dotčeným skupinám patří jak organizační složky státu, tak právnické a fyzické osoby</w:t>
      </w:r>
      <w:r>
        <w:rPr>
          <w:b/>
          <w:bCs/>
        </w:rPr>
        <w:t>.</w:t>
      </w:r>
      <w:r>
        <w:t xml:space="preserve"> V souvislosti s přijetím předkládané novely vyhlášky nevzniknou držitelům povolení k nakládání s vysoce rizikovými biologickými agens a toxiny ani osobám nakládajícím s rizikovými agens a toxiny žádné dodatečné náklady ani žádná nová práva a povinnosti, jde jen o jejich úpravu.</w:t>
      </w:r>
    </w:p>
    <w:p w:rsidR="00A77B3E">
      <w:pPr>
        <w:pStyle w:val="11"/>
      </w:pPr>
      <w:r>
        <w:t>12.2</w:t>
      </w:r>
      <w:r>
        <w:t>   Dopad na podnikatelské prostředí České republiky.</w:t>
      </w:r>
    </w:p>
    <w:p w:rsidR="00A77B3E">
      <w:pPr>
        <w:pStyle w:val="10"/>
      </w:pPr>
      <w:r>
        <w:t>Návrh vyhlášky nemá dopad na podnikatelské prostředí České republiky.</w:t>
      </w:r>
    </w:p>
    <w:p w:rsidR="00A77B3E">
      <w:pPr>
        <w:pStyle w:val="11"/>
      </w:pPr>
      <w:r>
        <w:t>12.3</w:t>
      </w:r>
      <w:r>
        <w:t>   Zhodnocení, zda návrhem právního předpisu není zakládána veřejná podpora.</w:t>
      </w:r>
    </w:p>
    <w:p w:rsidR="00A77B3E">
      <w:pPr>
        <w:pStyle w:val="10"/>
      </w:pPr>
      <w:r>
        <w:t>Návrhem vyhlášky není zakládána veřejná podpora.</w:t>
      </w:r>
    </w:p>
    <w:p w:rsidR="00A77B3E">
      <w:pPr>
        <w:pStyle w:val="11"/>
      </w:pPr>
      <w:r>
        <w:t>12.4</w:t>
      </w:r>
      <w:r>
        <w:t>   Sociální dopad, včetně dopadu na specifické skupiny obyvatel, především na osoby sociálně slabé, osoby se zdravotním postižením a národnostní menšiny.</w:t>
      </w:r>
    </w:p>
    <w:p w:rsidR="00A77B3E">
      <w:pPr>
        <w:pStyle w:val="10"/>
      </w:pPr>
      <w:r>
        <w:t>Návrh vyhlášky nemá sociální dopad, ani dopad na specifické skupiny obyvatel, především na osoby sociálně slabé, osoby se zdravotním postižením a národnostní menšiny.</w:t>
      </w:r>
    </w:p>
    <w:p w:rsidR="00A77B3E">
      <w:pPr>
        <w:pStyle w:val="11"/>
      </w:pPr>
      <w:r>
        <w:t>12.5</w:t>
      </w:r>
      <w:r>
        <w:t>   Dopad na rovnost mužů a žen, upravuje-li návrh právního předpisu postavení fyzických osob nebo se tohoto postavení dotýká.</w:t>
      </w:r>
    </w:p>
    <w:p w:rsidR="00A77B3E">
      <w:pPr>
        <w:pStyle w:val="10"/>
      </w:pPr>
      <w:r>
        <w:t>Návrh vyhlášky nemá dopad na rovnost mužů a žen, upravuje-li návrh právního předpisu postavení fyzických osob nebo se tohoto postavení dotýká.</w:t>
      </w:r>
    </w:p>
    <w:p w:rsidR="00A77B3E">
      <w:pPr>
        <w:pStyle w:val="11"/>
      </w:pPr>
      <w:r>
        <w:t>12.6</w:t>
      </w:r>
      <w:r>
        <w:t>   Dopad na životní prostředí.</w:t>
      </w:r>
    </w:p>
    <w:p w:rsidR="00A77B3E">
      <w:pPr>
        <w:pStyle w:val="10"/>
      </w:pPr>
      <w:r>
        <w:t>Návrh vyhlášky nemá dopad na životní prostředí.</w:t>
      </w:r>
    </w:p>
    <w:p w:rsidR="00A77B3E">
      <w:pPr>
        <w:pStyle w:val="11"/>
      </w:pPr>
      <w:r>
        <w:t>12.7</w:t>
      </w:r>
      <w:r>
        <w:t>   Dopad na ochranu práv dětí.</w:t>
      </w:r>
    </w:p>
    <w:p w:rsidR="00A77B3E">
      <w:pPr>
        <w:pStyle w:val="10"/>
      </w:pPr>
      <w:r>
        <w:t>Návrh vyhlášky nemá dopad na ochranu práv dětí.</w:t>
      </w:r>
    </w:p>
    <w:p w:rsidR="00A77B3E">
      <w:pPr>
        <w:pStyle w:val="11"/>
      </w:pPr>
      <w:r>
        <w:t>12.8</w:t>
      </w:r>
      <w:r>
        <w:t>   Dopad na bezpečnost nebo obranu státu.</w:t>
      </w:r>
    </w:p>
    <w:p w:rsidR="00A77B3E">
      <w:pPr>
        <w:pStyle w:val="10"/>
      </w:pPr>
      <w:r>
        <w:t>Návrh vyhlášky nemá dopad na bezpečnost nebo obranu státu.</w:t>
      </w:r>
    </w:p>
    <w:p w:rsidR="00A77B3E">
      <w:pPr>
        <w:pStyle w:val="11"/>
      </w:pPr>
      <w:r>
        <w:t>12.9</w:t>
      </w:r>
      <w:r>
        <w:t>   Dopad ve vztahu k ochraně soukromí a osobních údajů.</w:t>
      </w:r>
    </w:p>
    <w:p w:rsidR="00A77B3E">
      <w:pPr>
        <w:pStyle w:val="10"/>
      </w:pPr>
      <w:r>
        <w:t>Návrh vyhlášky nemá dopad ve vztahu k ochraně soukromí a osobních údajů</w:t>
      </w:r>
    </w:p>
    <w:p w:rsidR="00A77B3E">
      <w:pPr>
        <w:pStyle w:val="6"/>
      </w:pPr>
      <w:r>
        <w:t>13.</w:t>
      </w:r>
      <w:r>
        <w:t>   Zhodnocení korupčních rizik návrhu právního předpisu.</w:t>
      </w:r>
    </w:p>
    <w:p w:rsidR="00A77B3E">
      <w:pPr>
        <w:pStyle w:val="10"/>
      </w:pPr>
      <w:r>
        <w:t>Návrh vyhlášky nemá korupční rizika.</w:t>
      </w:r>
    </w:p>
    <w:p w:rsidR="00A77B3E">
      <w:pPr>
        <w:pStyle w:val="6"/>
      </w:pPr>
      <w:r>
        <w:t>14.</w:t>
      </w:r>
      <w:r>
        <w:t>   Odůvodnění případné navrhované odchylky v postupu projednání návrhu právního předpisu.</w:t>
      </w:r>
    </w:p>
    <w:p w:rsidR="00A77B3E">
      <w:pPr>
        <w:pStyle w:val="10"/>
      </w:pPr>
      <w:r>
        <w:t>Nenavrhuje se.</w:t>
      </w:r>
    </w:p>
    <w:p w:rsidR="00A77B3E">
      <w:pPr>
        <w:pStyle w:val="6"/>
      </w:pPr>
      <w:r>
        <w:t>15.</w:t>
      </w:r>
      <w:r>
        <w:t>   Informace dle zákona o regulaci lobbování</w:t>
      </w:r>
    </w:p>
    <w:p w:rsidR="00A77B3E">
      <w:pPr>
        <w:pStyle w:val="10"/>
      </w:pPr>
      <w:r>
        <w:t>V průběhu přípravy návrhu právního předpisu neproběhlo žádné lobbování ve smyslu uvedeného zákona.</w:t>
      </w:r>
      <w:r>
        <w:br/>
      </w:r>
      <w:r>
        <w:t>Nebyla uskutečněna žádná konzultace mezi lobbovaným a lobbistou před zahájením mezirezortního připomínkového řízení.</w:t>
      </w:r>
    </w:p>
    <w:p w:rsidR="00A77B3E">
      <w:pPr>
        <w:pStyle w:val="1"/>
      </w:pPr>
    </w:p>
    <w:p w:rsidR="00A77B3E">
      <w:pPr>
        <w:pStyle w:val="5"/>
      </w:pPr>
      <w:r>
        <w:t>II. Zvláštní část</w:t>
      </w:r>
    </w:p>
    <w:p w:rsidR="00A77B3E">
      <w:pPr>
        <w:pStyle w:val="12"/>
      </w:pPr>
      <w:r>
        <w:t>K čl. I (Vyhláška, kterou se mění vyhláška č. 474/2002 Sb.)</w:t>
      </w:r>
    </w:p>
    <w:p w:rsidR="00A77B3E">
      <w:pPr>
        <w:pStyle w:val="13"/>
      </w:pPr>
      <w:r>
        <w:t>K § 7</w:t>
      </w:r>
    </w:p>
    <w:p w:rsidR="00A77B3E">
      <w:pPr>
        <w:pStyle w:val="7"/>
      </w:pPr>
      <w:r>
        <w:t>V nadpisu § 7 se upravuje nesprávná jazyková formulace spočívající v nahrazení spojení „o pracovištích“ slovem „pracovišť“, aby tak textace odpovídala prováděnému zákonu.</w:t>
      </w:r>
    </w:p>
    <w:p w:rsidR="00A77B3E">
      <w:pPr>
        <w:pStyle w:val="9"/>
      </w:pPr>
    </w:p>
    <w:p w:rsidR="00A77B3E">
      <w:pPr>
        <w:pStyle w:val="13"/>
      </w:pPr>
      <w:r>
        <w:t>K § 7 odst. 2</w:t>
      </w:r>
    </w:p>
    <w:p w:rsidR="00A77B3E">
      <w:pPr>
        <w:pStyle w:val="10"/>
      </w:pPr>
      <w:r>
        <w:t>V § 7 odst. 2 se slovo „uznávaným“ nahrazuje slovem „kvalifikovaným“. Jde o úpravu související s vydáním zákona č. 297/2016 Sb., o službách vytvářejících důvěru pro elektronické transakce, který zavádí jako ekvivalent vlastnoučního podpisu kvalifikovaný elektronický podpis.</w:t>
      </w:r>
    </w:p>
    <w:p w:rsidR="00A77B3E">
      <w:pPr>
        <w:pStyle w:val="13"/>
      </w:pPr>
      <w:r>
        <w:t>K označení přílohy č. 1 příloha č. 1</w:t>
      </w:r>
    </w:p>
    <w:p w:rsidR="00A77B3E">
      <w:pPr>
        <w:pStyle w:val="10"/>
      </w:pPr>
      <w:r>
        <w:t>Navrhovaná změna reaguje na změny v nomenklatuře biologických agens a harmonizuje položky uvedené na seznamech přílohy č. 1 s legislativou EU přijatou v oblasti nakládání, resp. vývozu biologických agens a toxinů [Nařízení Evropského parlamentu a Rady (EU) 2021/821 ze dne 20. května 2021, kterým se zavádí režim Unie pro kontrolu vývozu, zprostředkování, technické pomoci, tranzitu a přepravy zboží dvojího užití, ve znění Nařízení Komise v přenesené pravomoci (EU) 2024/2547 ze dne 5. září 2024]. Ač tato evropská právní úprava sleduje jiný účel, důvodem, proč jsou využívány aktualizované seznamy Evropského parlamentu a Rady (EU) 2021/821,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 (konkrétně agens a toxiny uvedené v příloze I, Část III - kategorie 1, položky 1C351, 1C352, 1C353 a 1C354). Ze seznamu byl např. odstraněn virus Dengue, naopak se na něm nově objevují např. mořské toxiny jako brevetoxiny, gonyautoxiny, nodulariny a palytoxin. Počet položek na seznamech uvedeného nařízení EU není totožný s počtem položek navrhované novely vyhlášky, protože navrhované seznamy přílohy č. 1 a č. 2 k vyhlášce v mnoha ohledech pro lepší přehlednost respektují původní seznamy těchto příloh. Např. na seznamech EU jsou rozepsány toxiny deacetoxyscirpenol, T-2 toxin a HT-2 toxin, zatímco příloha č. 1 k vyhlášce obsahuje souhrnnou položku trichothecenové toxiny.</w:t>
      </w:r>
    </w:p>
    <w:p w:rsidR="00A77B3E">
      <w:pPr>
        <w:pStyle w:val="13"/>
      </w:pPr>
      <w:r>
        <w:t>K označení přílohy č. 2 příloha č. 2</w:t>
      </w:r>
    </w:p>
    <w:p w:rsidR="00A77B3E">
      <w:pPr>
        <w:pStyle w:val="10"/>
      </w:pPr>
      <w:r>
        <w:t>Navrhovaná změna reaguje na změny v nomenklatuře biologických agens a harmonizuje položky uvedené na seznamech přílohy č. 2 s legislativou EU přijatou v oblasti nakládání, resp. vývozu biologických agens a toxinů, Důvodem, proč jsou využívány aktualizované seznamy Nařízení Evropského parlamentu a Rady (EU) 2021/821 je skutečnost, že součástí Úmluvy o zákazu biologických zbraní není žádný seznam biologických agens a toxinů, které by mohly být zneužity k výrobě biologických zbraní. Obdobný seznam není ani součástí jiné evropské či vnitrostátní legislativy, a proto vyhláška využívá seznamy zboží dvojího užití, tedy zboží, jehož vývoz se kontroluje vzhledem k možnosti jeho zneužití k výrobě zbraní hromadného ničení (obdobně jako v novelizačním bodě č. 3).</w:t>
      </w:r>
    </w:p>
    <w:p w:rsidR="00A77B3E">
      <w:pPr>
        <w:pStyle w:val="13"/>
      </w:pPr>
      <w:r>
        <w:t>K označení přílohy č. 4 příloha č. 4</w:t>
      </w:r>
    </w:p>
    <w:p w:rsidR="00A77B3E">
      <w:pPr>
        <w:pStyle w:val="10"/>
      </w:pPr>
      <w:r>
        <w:t>V souladu s úpravou nadpisu v § 7 se na tomto místě upravuje nesprávná jazyková formulace v nadpisu Přílohy č. 4, aby tak textace odpovídala prováděnému zákonu i nově formulovanému nadpisu § 7 vyhlášky.</w:t>
      </w:r>
    </w:p>
    <w:p w:rsidR="00A77B3E">
      <w:pPr>
        <w:pStyle w:val="12"/>
      </w:pPr>
      <w:r>
        <w:t>K čl. II (Účinnostní ustanovení)</w:t>
      </w:r>
    </w:p>
    <w:p w:rsidR="00A77B3E">
      <w:pPr>
        <w:pStyle w:val="14"/>
      </w:pPr>
      <w:r>
        <w:t>Účinnost novely vyhlášky č. 474/2002 Sb. je stanovena na 1. ledna 2026. Takto stanovené datum nabytí účinnosti respektuje ustanovení § 9 odst. 2 zákona č. 222/2016 Sb., o Sbírce zákonů a mezinárodních smluv a o tvorbě právních předpisů vyhlašovaných ve Sbírce zákonů a mezinárodních smluv.</w:t>
      </w:r>
    </w:p>
    <w:p w:rsidR="00A77B3E">
      <w:pPr>
        <w:pStyle w:val="9"/>
      </w:pPr>
    </w:p>
    <w:p w:rsidR="00A77B3E">
      <w:pPr>
        <w:pStyle w:val="1"/>
      </w:pP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0"/>
      <w:ind w:right="227"/>
      <w:jc w:val="right"/>
    </w:pPr>
    <w:rPr>
      <w:rFonts w:ascii="Times New Roman" w:eastAsia="Times New Roman" w:hAnsi="Times New Roman" w:cs="Times New Roman"/>
      <w:b/>
      <w:sz w:val="40"/>
    </w:rPr>
  </w:style>
  <w:style w:type="paragraph" w:customStyle="1" w:styleId="3">
    <w:name w:val="3"/>
    <w:pPr>
      <w:spacing w:before="0" w:after="340"/>
      <w:ind w:left="680" w:right="680"/>
      <w:jc w:val="center"/>
    </w:pPr>
    <w:rPr>
      <w:rFonts w:ascii="Times New Roman" w:eastAsia="Times New Roman" w:hAnsi="Times New Roman" w:cs="Times New Roman"/>
      <w:b/>
      <w:sz w:val="44"/>
    </w:rPr>
  </w:style>
  <w:style w:type="paragraph" w:customStyle="1" w:styleId="4">
    <w:name w:val="4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5">
    <w:name w:val="5"/>
    <w:pPr>
      <w:spacing w:before="510" w:after="0"/>
      <w:ind w:left="850" w:right="85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6">
    <w:name w:val="6"/>
    <w:pPr>
      <w:overflowPunct/>
      <w:spacing w:before="283" w:after="113"/>
      <w:ind w:left="340" w:right="0" w:hanging="340"/>
      <w:jc w:val="left"/>
    </w:pPr>
    <w:rPr>
      <w:rFonts w:ascii="Times New Roman" w:eastAsia="Times New Roman" w:hAnsi="Times New Roman" w:cs="Times New Roman"/>
      <w:b/>
      <w:sz w:val="26"/>
    </w:rPr>
  </w:style>
  <w:style w:type="paragraph" w:customStyle="1" w:styleId="Varianta6start">
    <w:name w:val="Varianta_6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6konec">
    <w:name w:val="Varianta_6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6start">
    <w:name w:val="Ucinnost_6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6konec">
    <w:name w:val="Ucinnost_6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6start">
    <w:name w:val="Pripominky_6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7">
    <w:name w:val="7"/>
    <w:pPr>
      <w:spacing w:before="0" w:after="113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8">
    <w:name w:val="8"/>
    <w:pPr>
      <w:spacing w:before="113" w:after="113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9">
    <w:name w:val="9"/>
    <w:pPr>
      <w:spacing w:before="113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0">
    <w:name w:val="10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1">
    <w:name w:val="11"/>
    <w:pPr>
      <w:overflowPunct/>
      <w:spacing w:before="170" w:after="57"/>
      <w:ind w:left="510" w:right="0" w:hanging="510"/>
      <w:jc w:val="left"/>
    </w:pPr>
    <w:rPr>
      <w:rFonts w:ascii="Times New Roman" w:eastAsia="Times New Roman" w:hAnsi="Times New Roman" w:cs="Times New Roman"/>
      <w:b/>
      <w:sz w:val="26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2">
    <w:name w:val="12"/>
    <w:pPr>
      <w:spacing w:before="170" w:after="0"/>
      <w:ind w:left="850" w:right="85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13">
    <w:name w:val="13"/>
    <w:pPr>
      <w:spacing w:before="57" w:after="0"/>
      <w:ind w:right="0"/>
      <w:jc w:val="left"/>
    </w:pPr>
    <w:rPr>
      <w:rFonts w:ascii="Times New Roman" w:eastAsia="Times New Roman" w:hAnsi="Times New Roman" w:cs="Times New Roman"/>
      <w:b/>
      <w:sz w:val="28"/>
    </w:rPr>
  </w:style>
  <w:style w:type="paragraph" w:customStyle="1" w:styleId="14">
    <w:name w:val="14"/>
    <w:pPr>
      <w:spacing w:before="0" w:after="113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